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5FC455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5E84D33E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6EB04D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关于将盐城盈辰建设工程有限公司、盐城市越鹏建设工程有限公司</w:t>
      </w:r>
    </w:p>
    <w:p w14:paraId="4386B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纳入学校招投标黑名单的公告</w:t>
      </w:r>
    </w:p>
    <w:p w14:paraId="2F6903B3">
      <w:pPr>
        <w:pStyle w:val="3"/>
        <w:rPr>
          <w:rFonts w:hint="eastAsia"/>
          <w:lang w:eastAsia="zh-CN"/>
        </w:rPr>
      </w:pPr>
    </w:p>
    <w:p w14:paraId="0C9756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盐城盈辰建设工程有限公司、盐城市越鹏建设工程有限公司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名参加我校文港路校区3、5号楼更换钢质门采购项目（四次），该项目于2025年9月6日上午10时00分在I我校依法开标，盐城盈辰建设工程有限公司、盐城市越鹏建设工程有限公司的投标文件中的法人授权书雷同。根据招标文件及有关规定，将盐城盈辰建设工程有限公司、盐城市越鹏建设工程有限公司纳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学校招投标黑名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单。两年内不得参加我校所有采购活动。</w:t>
      </w:r>
    </w:p>
    <w:p w14:paraId="01394367"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51207DED">
      <w:pPr>
        <w:pStyle w:val="3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</w:t>
      </w:r>
    </w:p>
    <w:p w14:paraId="59CD8733">
      <w:pPr>
        <w:pStyle w:val="3"/>
        <w:ind w:firstLine="640" w:firstLineChars="2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江苏省盐城技师学院招投标办公室</w:t>
      </w:r>
    </w:p>
    <w:p w14:paraId="1CB17B29">
      <w:pPr>
        <w:pStyle w:val="3"/>
        <w:jc w:val="center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2025年9月8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p w14:paraId="7E483B9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5A5E5264"/>
    <w:rsid w:val="0C54536A"/>
    <w:rsid w:val="17A15BE2"/>
    <w:rsid w:val="28FF54D6"/>
    <w:rsid w:val="29215311"/>
    <w:rsid w:val="297178A3"/>
    <w:rsid w:val="2C687786"/>
    <w:rsid w:val="402C6F40"/>
    <w:rsid w:val="47893ACF"/>
    <w:rsid w:val="50893782"/>
    <w:rsid w:val="50E41479"/>
    <w:rsid w:val="5629049F"/>
    <w:rsid w:val="5898091D"/>
    <w:rsid w:val="5A5E5264"/>
    <w:rsid w:val="61BF3175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